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B9" w:rsidRDefault="00C549B9" w:rsidP="00C549B9">
      <w:pPr>
        <w:pStyle w:val="Bezmezer"/>
        <w:rPr>
          <w:noProof/>
          <w:lang w:eastAsia="cs-CZ"/>
        </w:rPr>
      </w:pPr>
      <w:r w:rsidRPr="00F103F8">
        <w:rPr>
          <w:b/>
          <w:noProof/>
          <w:sz w:val="32"/>
          <w:szCs w:val="32"/>
          <w:lang w:eastAsia="cs-CZ"/>
        </w:rPr>
        <w:t>Přihláška na Letní školu „Sejdeme se na zámku</w:t>
      </w:r>
      <w:r>
        <w:rPr>
          <w:noProof/>
          <w:lang w:eastAsia="cs-CZ"/>
        </w:rPr>
        <w:t>“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Jméno: ………………………………………………………………………………………………………….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Škola: ……………………………………………………………………………………………………………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Telefon: …………………………………………E-mail:………………………………………………….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Požadované služby označte křížkem</w:t>
      </w:r>
      <w:r w:rsidR="00E923CA">
        <w:rPr>
          <w:noProof/>
          <w:lang w:eastAsia="cs-CZ"/>
        </w:rPr>
        <w:t xml:space="preserve"> (příp. zakroužkujte I nebo II)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2642"/>
        <w:gridCol w:w="1037"/>
        <w:gridCol w:w="992"/>
        <w:gridCol w:w="913"/>
        <w:gridCol w:w="1093"/>
        <w:gridCol w:w="1257"/>
      </w:tblGrid>
      <w:tr w:rsidR="00C549B9" w:rsidTr="00C549B9">
        <w:trPr>
          <w:trHeight w:val="383"/>
        </w:trPr>
        <w:tc>
          <w:tcPr>
            <w:tcW w:w="1249" w:type="dxa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>Datum</w:t>
            </w:r>
          </w:p>
        </w:tc>
        <w:tc>
          <w:tcPr>
            <w:tcW w:w="3679" w:type="dxa"/>
            <w:gridSpan w:val="2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>Semináře</w:t>
            </w:r>
          </w:p>
        </w:tc>
        <w:tc>
          <w:tcPr>
            <w:tcW w:w="992" w:type="dxa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>Snídaně</w:t>
            </w:r>
          </w:p>
        </w:tc>
        <w:tc>
          <w:tcPr>
            <w:tcW w:w="913" w:type="dxa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 xml:space="preserve">Oběd </w:t>
            </w:r>
          </w:p>
        </w:tc>
        <w:tc>
          <w:tcPr>
            <w:tcW w:w="1093" w:type="dxa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>Večeře</w:t>
            </w:r>
          </w:p>
        </w:tc>
        <w:tc>
          <w:tcPr>
            <w:tcW w:w="1257" w:type="dxa"/>
          </w:tcPr>
          <w:p w:rsidR="00C549B9" w:rsidRPr="00F103F8" w:rsidRDefault="00C549B9" w:rsidP="00FB5BE5">
            <w:pPr>
              <w:pStyle w:val="Bezmezer"/>
              <w:rPr>
                <w:b/>
                <w:noProof/>
                <w:lang w:eastAsia="cs-CZ"/>
              </w:rPr>
            </w:pPr>
            <w:r w:rsidRPr="00F103F8">
              <w:rPr>
                <w:b/>
                <w:noProof/>
                <w:lang w:eastAsia="cs-CZ"/>
              </w:rPr>
              <w:t>Nocleh</w:t>
            </w:r>
          </w:p>
        </w:tc>
      </w:tr>
      <w:tr w:rsidR="00C549B9" w:rsidTr="00C549B9">
        <w:trPr>
          <w:trHeight w:val="288"/>
        </w:trPr>
        <w:tc>
          <w:tcPr>
            <w:tcW w:w="1249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</w:t>
            </w:r>
          </w:p>
        </w:tc>
        <w:tc>
          <w:tcPr>
            <w:tcW w:w="2642" w:type="dxa"/>
          </w:tcPr>
          <w:p w:rsidR="00C549B9" w:rsidRPr="00736B74" w:rsidRDefault="00C549B9" w:rsidP="00FB5BE5">
            <w:pPr>
              <w:pStyle w:val="Bezmezer"/>
              <w:rPr>
                <w:color w:val="0070C0"/>
              </w:rPr>
            </w:pPr>
            <w:r w:rsidRPr="00736B74">
              <w:rPr>
                <w:color w:val="000000" w:themeColor="text1"/>
              </w:rPr>
              <w:t xml:space="preserve">Čtenářské </w:t>
            </w:r>
            <w:proofErr w:type="gramStart"/>
            <w:r w:rsidRPr="00736B74">
              <w:rPr>
                <w:color w:val="000000" w:themeColor="text1"/>
              </w:rPr>
              <w:t>dílny I</w:t>
            </w:r>
            <w:r>
              <w:rPr>
                <w:color w:val="000000" w:themeColor="text1"/>
              </w:rPr>
              <w:t xml:space="preserve"> , II</w:t>
            </w:r>
            <w:proofErr w:type="gramEnd"/>
            <w:r>
              <w:rPr>
                <w:color w:val="000000" w:themeColor="text1"/>
              </w:rPr>
              <w:t xml:space="preserve">                    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  <w:p w:rsidR="00FB1912" w:rsidRDefault="00FB1912" w:rsidP="00FB5BE5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X</w:t>
            </w:r>
            <w:bookmarkStart w:id="0" w:name="_GoBack"/>
            <w:bookmarkEnd w:id="0"/>
            <w:r>
              <w:rPr>
                <w:noProof/>
                <w:lang w:eastAsia="cs-CZ"/>
              </w:rPr>
              <w:t>XXXXX</w:t>
            </w:r>
          </w:p>
        </w:tc>
        <w:tc>
          <w:tcPr>
            <w:tcW w:w="91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proofErr w:type="spellStart"/>
            <w:r>
              <w:t>Feuerstein</w:t>
            </w:r>
            <w:proofErr w:type="spellEnd"/>
            <w:r>
              <w:t xml:space="preserve"> I, II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>Inkluze I, II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288"/>
        </w:trPr>
        <w:tc>
          <w:tcPr>
            <w:tcW w:w="1249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ÚT</w:t>
            </w: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>Dramatizace I, II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 xml:space="preserve">Supervize 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>Děti s ADHD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288"/>
        </w:trPr>
        <w:tc>
          <w:tcPr>
            <w:tcW w:w="1249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</w:t>
            </w: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 xml:space="preserve">Řečová výchova 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 w:val="restart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  <w:p w:rsidR="00E923CA" w:rsidRDefault="00E923CA" w:rsidP="00FB5BE5">
            <w:pPr>
              <w:pStyle w:val="Bezmez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XXXXXXXX</w:t>
            </w: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 xml:space="preserve">Matematika 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  <w:tr w:rsidR="00C549B9" w:rsidTr="00C549B9">
        <w:trPr>
          <w:trHeight w:val="155"/>
        </w:trPr>
        <w:tc>
          <w:tcPr>
            <w:tcW w:w="1249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2642" w:type="dxa"/>
          </w:tcPr>
          <w:p w:rsidR="00C549B9" w:rsidRDefault="00C549B9" w:rsidP="00FB5BE5">
            <w:pPr>
              <w:pStyle w:val="Bezmezer"/>
            </w:pPr>
            <w:r>
              <w:t>Děti a pohyb I, II</w:t>
            </w:r>
          </w:p>
        </w:tc>
        <w:tc>
          <w:tcPr>
            <w:tcW w:w="1037" w:type="dxa"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92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91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093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  <w:tc>
          <w:tcPr>
            <w:tcW w:w="1257" w:type="dxa"/>
            <w:vMerge/>
          </w:tcPr>
          <w:p w:rsidR="00C549B9" w:rsidRDefault="00C549B9" w:rsidP="00FB5BE5">
            <w:pPr>
              <w:pStyle w:val="Bezmezer"/>
              <w:rPr>
                <w:noProof/>
                <w:lang w:eastAsia="cs-CZ"/>
              </w:rPr>
            </w:pPr>
          </w:p>
        </w:tc>
      </w:tr>
    </w:tbl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jc w:val="both"/>
        <w:rPr>
          <w:noProof/>
          <w:lang w:eastAsia="cs-CZ"/>
        </w:rPr>
      </w:pPr>
      <w:r>
        <w:rPr>
          <w:b/>
        </w:rPr>
        <w:t>Přihlášku</w:t>
      </w:r>
      <w:r w:rsidRPr="009555D1">
        <w:rPr>
          <w:b/>
        </w:rPr>
        <w:t xml:space="preserve"> prosím odešlete nejdéle do 30. 6. 2016 na </w:t>
      </w:r>
      <w:r>
        <w:rPr>
          <w:b/>
        </w:rPr>
        <w:t xml:space="preserve">e-mailovou </w:t>
      </w:r>
      <w:r w:rsidRPr="009555D1">
        <w:rPr>
          <w:b/>
        </w:rPr>
        <w:t xml:space="preserve">adresu </w:t>
      </w:r>
      <w:proofErr w:type="spellStart"/>
      <w:r>
        <w:rPr>
          <w:b/>
        </w:rPr>
        <w:t>m</w:t>
      </w:r>
      <w:r w:rsidRPr="009555D1">
        <w:rPr>
          <w:b/>
        </w:rPr>
        <w:t>tumova@cesbrod</w:t>
      </w:r>
      <w:proofErr w:type="spellEnd"/>
      <w:r w:rsidRPr="009555D1">
        <w:rPr>
          <w:b/>
        </w:rPr>
        <w:t xml:space="preserve">. </w:t>
      </w:r>
      <w:r>
        <w:t>Bližší organizační pokyny vám zašleme na základě přihlášky v průběhu měsíce srpna.</w:t>
      </w:r>
    </w:p>
    <w:p w:rsidR="00C549B9" w:rsidRDefault="00C549B9" w:rsidP="00C549B9">
      <w:pPr>
        <w:pStyle w:val="Bezmezer"/>
        <w:jc w:val="both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>Datum:…………………………………….         Podpis:……………………………………………….</w:t>
      </w: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549B9" w:rsidRDefault="00C549B9" w:rsidP="00C549B9">
      <w:pPr>
        <w:pStyle w:val="Bezmezer"/>
        <w:rPr>
          <w:noProof/>
          <w:lang w:eastAsia="cs-CZ"/>
        </w:rPr>
      </w:pPr>
    </w:p>
    <w:p w:rsidR="00C73DCD" w:rsidRDefault="00C73DCD"/>
    <w:sectPr w:rsidR="00C7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B9"/>
    <w:rsid w:val="00C549B9"/>
    <w:rsid w:val="00C73DCD"/>
    <w:rsid w:val="00E923CA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9B9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9B9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Tumova Miloslava</dc:creator>
  <cp:lastModifiedBy>Tumova Miloslava</cp:lastModifiedBy>
  <cp:revision>3</cp:revision>
  <dcterms:created xsi:type="dcterms:W3CDTF">2016-06-06T09:21:00Z</dcterms:created>
  <dcterms:modified xsi:type="dcterms:W3CDTF">2016-06-06T09:26:00Z</dcterms:modified>
</cp:coreProperties>
</file>